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F9" w:rsidRDefault="00250FF9" w:rsidP="00250FF9">
      <w:pPr>
        <w:spacing w:after="0" w:line="240" w:lineRule="atLeast"/>
        <w:textAlignment w:val="baseline"/>
        <w:outlineLvl w:val="0"/>
        <w:rPr>
          <w:rFonts w:ascii="Arial Narrow" w:eastAsia="Times New Roman" w:hAnsi="Arial Narrow" w:cs="Lucida Sans Unicode"/>
          <w:kern w:val="36"/>
          <w:sz w:val="40"/>
          <w:szCs w:val="36"/>
          <w:lang w:eastAsia="en-MY"/>
        </w:rPr>
      </w:pPr>
      <w:proofErr w:type="spellStart"/>
      <w:r w:rsidRPr="00250FF9">
        <w:rPr>
          <w:rFonts w:ascii="Arial Narrow" w:eastAsia="Times New Roman" w:hAnsi="Arial Narrow" w:cs="Lucida Sans Unicode"/>
          <w:kern w:val="36"/>
          <w:sz w:val="40"/>
          <w:szCs w:val="36"/>
          <w:lang w:eastAsia="en-MY"/>
        </w:rPr>
        <w:t>Terma</w:t>
      </w:r>
      <w:proofErr w:type="spellEnd"/>
      <w:r w:rsidRPr="00250FF9">
        <w:rPr>
          <w:rFonts w:ascii="Arial Narrow" w:eastAsia="Times New Roman" w:hAnsi="Arial Narrow" w:cs="Lucida Sans Unicode"/>
          <w:kern w:val="36"/>
          <w:sz w:val="40"/>
          <w:szCs w:val="36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Lucida Sans Unicode"/>
          <w:kern w:val="36"/>
          <w:sz w:val="40"/>
          <w:szCs w:val="36"/>
          <w:lang w:eastAsia="en-MY"/>
        </w:rPr>
        <w:t>Rujukan</w:t>
      </w:r>
      <w:proofErr w:type="spellEnd"/>
    </w:p>
    <w:p w:rsidR="00250FF9" w:rsidRDefault="00250FF9" w:rsidP="00250FF9">
      <w:pPr>
        <w:spacing w:after="0" w:line="240" w:lineRule="atLeast"/>
        <w:textAlignment w:val="baseline"/>
        <w:outlineLvl w:val="0"/>
        <w:rPr>
          <w:rFonts w:ascii="Arial Narrow" w:eastAsia="Times New Roman" w:hAnsi="Arial Narrow" w:cs="Lucida Sans Unicode"/>
          <w:kern w:val="36"/>
          <w:sz w:val="40"/>
          <w:szCs w:val="36"/>
          <w:lang w:eastAsia="en-MY"/>
        </w:rPr>
      </w:pPr>
    </w:p>
    <w:p w:rsidR="00250FF9" w:rsidRPr="00250FF9" w:rsidRDefault="00250FF9" w:rsidP="00250FF9">
      <w:pPr>
        <w:spacing w:after="0" w:line="240" w:lineRule="atLeast"/>
        <w:textAlignment w:val="baseline"/>
        <w:outlineLvl w:val="0"/>
        <w:rPr>
          <w:rFonts w:ascii="Arial Narrow" w:eastAsia="Times New Roman" w:hAnsi="Arial Narrow" w:cs="Lucida Sans Unicode"/>
          <w:kern w:val="36"/>
          <w:sz w:val="40"/>
          <w:szCs w:val="36"/>
          <w:lang w:eastAsia="en-MY"/>
        </w:rPr>
      </w:pPr>
    </w:p>
    <w:p w:rsidR="00250FF9" w:rsidRPr="00250FF9" w:rsidRDefault="00250FF9" w:rsidP="00250FF9">
      <w:pPr>
        <w:pStyle w:val="ListParagraph"/>
        <w:numPr>
          <w:ilvl w:val="0"/>
          <w:numId w:val="9"/>
        </w:numPr>
        <w:spacing w:after="0" w:line="432" w:lineRule="atLeast"/>
        <w:jc w:val="both"/>
        <w:textAlignment w:val="baseline"/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bdr w:val="none" w:sz="0" w:space="0" w:color="auto" w:frame="1"/>
          <w:lang w:eastAsia="en-MY"/>
        </w:rPr>
      </w:pPr>
      <w:r w:rsidRPr="00250FF9"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bdr w:val="none" w:sz="0" w:space="0" w:color="auto" w:frame="1"/>
          <w:lang w:eastAsia="en-MY"/>
        </w:rPr>
        <w:t>PENGENALAN</w:t>
      </w:r>
    </w:p>
    <w:p w:rsidR="00250FF9" w:rsidRPr="00250FF9" w:rsidRDefault="00250FF9" w:rsidP="00250FF9">
      <w:pPr>
        <w:spacing w:after="0" w:line="432" w:lineRule="atLeast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Malaysian Online E-Resources Consortium (MOLEC)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merupakan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konsortium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elektronik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atas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talian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Malaysia yang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sebelum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ini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dikenali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sebagai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Jawatankuasa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Kecil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Pangkalan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Data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Komersial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(JKKPDK) yang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ditubuhkan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2000 di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bawah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Sistem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Digital Negara (PERDANA).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Mesyuarat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pertama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JKKPDK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telah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diadakan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28 Mac 2000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dihadiri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oleh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12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daripada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universiti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di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Tun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Seri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Lanang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,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Universiti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Kebangsaan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Malaysia,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Bangi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, Selangor.</w:t>
      </w:r>
    </w:p>
    <w:p w:rsidR="00250FF9" w:rsidRPr="00250FF9" w:rsidRDefault="00250FF9" w:rsidP="00250FF9">
      <w:pPr>
        <w:spacing w:after="360" w:line="432" w:lineRule="atLeast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2007, JKKPDK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telah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ditukar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JKPDK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seterusnya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Mesyuarat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bertarikh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17 Mac 2010, di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Universiti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Islam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Antarabangsa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Malaysia,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ianya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telah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dijenama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semula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Konsortium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Elektronik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Atas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Talian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Malaysia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atau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Malaysian Online E-Resources Consortium (MOLEC).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Penjenamaan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semula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ini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adalah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selaras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dengan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hasrat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untuk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mengangkat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jawatankuasa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tersebut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tahap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global.</w:t>
      </w:r>
    </w:p>
    <w:p w:rsidR="00250FF9" w:rsidRPr="00250FF9" w:rsidRDefault="00250FF9" w:rsidP="00250FF9">
      <w:pPr>
        <w:spacing w:after="0" w:line="432" w:lineRule="atLeast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bdr w:val="none" w:sz="0" w:space="0" w:color="auto" w:frame="1"/>
          <w:lang w:eastAsia="en-MY"/>
        </w:rPr>
        <w:t>2.0  VISI</w:t>
      </w: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br/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Menjadi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konsortium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kebangsaan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melalui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pengoptimuman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arah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kecemerlangan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ilmu</w:t>
      </w:r>
      <w:proofErr w:type="spellEnd"/>
    </w:p>
    <w:p w:rsidR="00250FF9" w:rsidRPr="00250FF9" w:rsidRDefault="00250FF9" w:rsidP="00250FF9">
      <w:pPr>
        <w:spacing w:after="360" w:line="432" w:lineRule="atLeast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To be a national consortium through optimization of resources towards knowledge excellence</w:t>
      </w:r>
    </w:p>
    <w:p w:rsidR="00250FF9" w:rsidRPr="00250FF9" w:rsidRDefault="00250FF9" w:rsidP="00250FF9">
      <w:pPr>
        <w:spacing w:after="0" w:line="432" w:lineRule="atLeast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bdr w:val="none" w:sz="0" w:space="0" w:color="auto" w:frame="1"/>
          <w:lang w:eastAsia="en-MY"/>
        </w:rPr>
        <w:t>3.0 MISI</w:t>
      </w: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br/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Memastikan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perolehan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penggunaan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elektronik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dilaksanakan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dengan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cekap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berkesan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berdasarkan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pulangan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atas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pelaburan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(ROI)</w:t>
      </w:r>
    </w:p>
    <w:p w:rsidR="00250FF9" w:rsidRPr="00250FF9" w:rsidRDefault="00250FF9" w:rsidP="00250FF9">
      <w:pPr>
        <w:spacing w:after="0" w:line="432" w:lineRule="atLeast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</w:p>
    <w:p w:rsidR="00250FF9" w:rsidRPr="00250FF9" w:rsidRDefault="00250FF9" w:rsidP="00250FF9">
      <w:pPr>
        <w:spacing w:after="0" w:line="432" w:lineRule="atLeast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bdr w:val="none" w:sz="0" w:space="0" w:color="auto" w:frame="1"/>
          <w:lang w:eastAsia="en-MY"/>
        </w:rPr>
        <w:t>4.0 OBJEKTIF</w:t>
      </w:r>
    </w:p>
    <w:p w:rsidR="00250FF9" w:rsidRPr="00250FF9" w:rsidRDefault="00250FF9" w:rsidP="00250FF9">
      <w:pPr>
        <w:numPr>
          <w:ilvl w:val="0"/>
          <w:numId w:val="1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Menyumbang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pembangunan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dasar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perolehan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elektronik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,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tertakluk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pekeliling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sedia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ada</w:t>
      </w:r>
      <w:proofErr w:type="spellEnd"/>
    </w:p>
    <w:p w:rsidR="00250FF9" w:rsidRPr="00250FF9" w:rsidRDefault="00250FF9" w:rsidP="00250FF9">
      <w:pPr>
        <w:numPr>
          <w:ilvl w:val="0"/>
          <w:numId w:val="1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Melaksanakan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proses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rundingan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langganan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pembelian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dengan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pembekal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/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atau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penerbit</w:t>
      </w:r>
      <w:proofErr w:type="spellEnd"/>
    </w:p>
    <w:p w:rsidR="00250FF9" w:rsidRDefault="00250FF9" w:rsidP="00250FF9">
      <w:pPr>
        <w:numPr>
          <w:ilvl w:val="0"/>
          <w:numId w:val="1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Melestarikan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dasar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perkongsian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maklumat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dalam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kalangan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</w:p>
    <w:p w:rsidR="00250FF9" w:rsidRDefault="00250FF9" w:rsidP="00250FF9">
      <w:p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</w:p>
    <w:p w:rsidR="00250FF9" w:rsidRDefault="00250FF9" w:rsidP="00250FF9">
      <w:p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</w:p>
    <w:p w:rsidR="009611F0" w:rsidRPr="00250FF9" w:rsidRDefault="009611F0" w:rsidP="00250FF9">
      <w:p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</w:p>
    <w:p w:rsidR="00250FF9" w:rsidRDefault="00250FF9" w:rsidP="00250FF9">
      <w:pPr>
        <w:spacing w:after="0" w:line="432" w:lineRule="atLeast"/>
        <w:jc w:val="both"/>
        <w:textAlignment w:val="baseline"/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bdr w:val="none" w:sz="0" w:space="0" w:color="auto" w:frame="1"/>
          <w:lang w:eastAsia="en-MY"/>
        </w:rPr>
      </w:pPr>
      <w:r w:rsidRPr="00250FF9"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bdr w:val="none" w:sz="0" w:space="0" w:color="auto" w:frame="1"/>
          <w:lang w:eastAsia="en-MY"/>
        </w:rPr>
        <w:lastRenderedPageBreak/>
        <w:t>5.0 GLOSARI</w:t>
      </w:r>
    </w:p>
    <w:p w:rsidR="00250FF9" w:rsidRPr="00250FF9" w:rsidRDefault="00250FF9" w:rsidP="00250FF9">
      <w:pPr>
        <w:spacing w:after="0" w:line="432" w:lineRule="atLeast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</w:p>
    <w:p w:rsidR="00250FF9" w:rsidRPr="00250FF9" w:rsidRDefault="00250FF9" w:rsidP="00250FF9">
      <w:pPr>
        <w:numPr>
          <w:ilvl w:val="0"/>
          <w:numId w:val="2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Elektronik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Atas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Talian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– 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Meliputi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pangkalan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data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atas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talian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jurnal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,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buku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elektronik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,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ensaiklopedia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atas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talian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, tools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langganan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keahlian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.</w:t>
      </w:r>
    </w:p>
    <w:p w:rsidR="00250FF9" w:rsidRPr="00250FF9" w:rsidRDefault="00250FF9" w:rsidP="00250FF9">
      <w:pPr>
        <w:numPr>
          <w:ilvl w:val="0"/>
          <w:numId w:val="2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Universiti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GLC – 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Institusi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Pengajian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Tinggi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Swasta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bertaraf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GLC (Government Link Companies)</w:t>
      </w:r>
    </w:p>
    <w:p w:rsidR="00250FF9" w:rsidRPr="00250FF9" w:rsidRDefault="00250FF9" w:rsidP="00250FF9">
      <w:pPr>
        <w:numPr>
          <w:ilvl w:val="0"/>
          <w:numId w:val="2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KPT – 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Kementerian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Pendidikan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Tinggi</w:t>
      </w:r>
    </w:p>
    <w:p w:rsidR="00250FF9" w:rsidRPr="00250FF9" w:rsidRDefault="00250FF9" w:rsidP="00250FF9">
      <w:pPr>
        <w:numPr>
          <w:ilvl w:val="0"/>
          <w:numId w:val="2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AKEPT – 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Agensi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Kepimpinan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Pendidikan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Tinggi</w:t>
      </w:r>
    </w:p>
    <w:p w:rsidR="00250FF9" w:rsidRPr="00250FF9" w:rsidRDefault="00250FF9" w:rsidP="00250FF9">
      <w:pPr>
        <w:numPr>
          <w:ilvl w:val="0"/>
          <w:numId w:val="2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PSM – 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Pusat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Sitasi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Malaysia</w:t>
      </w:r>
    </w:p>
    <w:p w:rsidR="00250FF9" w:rsidRPr="00250FF9" w:rsidRDefault="00250FF9" w:rsidP="00250FF9">
      <w:pPr>
        <w:numPr>
          <w:ilvl w:val="0"/>
          <w:numId w:val="2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PERPUN – 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Persidangan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Universiti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Negara Malaysia</w:t>
      </w:r>
    </w:p>
    <w:p w:rsidR="00250FF9" w:rsidRPr="00250FF9" w:rsidRDefault="00250FF9" w:rsidP="00250FF9">
      <w:pPr>
        <w:numPr>
          <w:ilvl w:val="0"/>
          <w:numId w:val="2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PNM – 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Negara Malaysia</w:t>
      </w:r>
    </w:p>
    <w:p w:rsidR="00250FF9" w:rsidRPr="00250FF9" w:rsidRDefault="00250FF9" w:rsidP="00250FF9">
      <w:pPr>
        <w:numPr>
          <w:ilvl w:val="0"/>
          <w:numId w:val="2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PPM – 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Persatuan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Pustakawan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Malaysia</w:t>
      </w:r>
    </w:p>
    <w:p w:rsidR="009C5813" w:rsidRDefault="009C5813" w:rsidP="00250FF9">
      <w:pPr>
        <w:spacing w:after="0" w:line="432" w:lineRule="atLeast"/>
        <w:jc w:val="both"/>
        <w:textAlignment w:val="baseline"/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bdr w:val="none" w:sz="0" w:space="0" w:color="auto" w:frame="1"/>
          <w:lang w:eastAsia="en-MY"/>
        </w:rPr>
      </w:pPr>
    </w:p>
    <w:p w:rsidR="00250FF9" w:rsidRPr="00250FF9" w:rsidRDefault="00250FF9" w:rsidP="00250FF9">
      <w:pPr>
        <w:spacing w:after="0" w:line="432" w:lineRule="atLeast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bdr w:val="none" w:sz="0" w:space="0" w:color="auto" w:frame="1"/>
          <w:lang w:eastAsia="en-MY"/>
        </w:rPr>
        <w:t>6.0 FUNGSI &amp; TANGGUNGJAWAB</w:t>
      </w:r>
    </w:p>
    <w:p w:rsidR="00250FF9" w:rsidRPr="00250FF9" w:rsidRDefault="00250FF9" w:rsidP="00250FF9">
      <w:pPr>
        <w:spacing w:after="360" w:line="432" w:lineRule="atLeast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Perolehan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Elektronik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Atas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Talian</w:t>
      </w:r>
      <w:proofErr w:type="spellEnd"/>
    </w:p>
    <w:p w:rsidR="00250FF9" w:rsidRPr="00250FF9" w:rsidRDefault="00250FF9" w:rsidP="00250FF9">
      <w:pPr>
        <w:numPr>
          <w:ilvl w:val="0"/>
          <w:numId w:val="3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Menjadi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rujukan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bagi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tujuan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perolehan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elektronik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dalam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kalangan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melalui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pewujudan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satu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platform yang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komprehensif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berkaitan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pengurusan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perolehan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elektronik</w:t>
      </w:r>
      <w:proofErr w:type="spellEnd"/>
    </w:p>
    <w:p w:rsidR="00250FF9" w:rsidRPr="00250FF9" w:rsidRDefault="00250FF9" w:rsidP="00250FF9">
      <w:pPr>
        <w:numPr>
          <w:ilvl w:val="0"/>
          <w:numId w:val="3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Melaksanakan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rundingan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secara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berkumpulan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bagi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mendapatkan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harga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terbaik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seterusnya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mengurangkan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kos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langganan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oleh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</w:p>
    <w:p w:rsidR="00250FF9" w:rsidRPr="00250FF9" w:rsidRDefault="00250FF9" w:rsidP="00250FF9">
      <w:pPr>
        <w:numPr>
          <w:ilvl w:val="0"/>
          <w:numId w:val="3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Memastikan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rundingan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pakej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/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harga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dipersetujui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diterima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oleh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semua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</w:p>
    <w:p w:rsidR="00250FF9" w:rsidRPr="00250FF9" w:rsidRDefault="00250FF9" w:rsidP="00250FF9">
      <w:pPr>
        <w:spacing w:after="360" w:line="432" w:lineRule="atLeast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Pengurusan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Langganan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Elektronik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Atas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Talian</w:t>
      </w:r>
      <w:proofErr w:type="spellEnd"/>
    </w:p>
    <w:p w:rsidR="00250FF9" w:rsidRPr="00250FF9" w:rsidRDefault="00250FF9" w:rsidP="00250FF9">
      <w:pPr>
        <w:numPr>
          <w:ilvl w:val="0"/>
          <w:numId w:val="4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Menyediakan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templet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perjanjian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lessen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kontrak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mengenaskini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senarai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semak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perjanjian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untuk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semua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berdasarkan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nasihat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daripada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Pejabat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Penasihat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Undang-Undang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.</w:t>
      </w:r>
    </w:p>
    <w:p w:rsidR="00250FF9" w:rsidRPr="00250FF9" w:rsidRDefault="00250FF9" w:rsidP="00250FF9">
      <w:pPr>
        <w:spacing w:after="360" w:line="432" w:lineRule="atLeast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Perkongsian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Maklumat</w:t>
      </w:r>
      <w:proofErr w:type="spellEnd"/>
    </w:p>
    <w:p w:rsidR="00250FF9" w:rsidRPr="00250FF9" w:rsidRDefault="00250FF9" w:rsidP="00250FF9">
      <w:pPr>
        <w:numPr>
          <w:ilvl w:val="0"/>
          <w:numId w:val="5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Pembangunan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elektronik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mengikut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niche area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atau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teras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universiti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/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institusi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,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tertakluk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keperluan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universiti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/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institusi</w:t>
      </w:r>
      <w:proofErr w:type="spellEnd"/>
    </w:p>
    <w:p w:rsidR="00250FF9" w:rsidRPr="00250FF9" w:rsidRDefault="00250FF9" w:rsidP="00250FF9">
      <w:pPr>
        <w:numPr>
          <w:ilvl w:val="0"/>
          <w:numId w:val="5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Penyediaan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senarai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langganan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mengikut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niche area</w:t>
      </w:r>
    </w:p>
    <w:p w:rsidR="00250FF9" w:rsidRPr="00250FF9" w:rsidRDefault="00250FF9" w:rsidP="00250FF9">
      <w:pPr>
        <w:numPr>
          <w:ilvl w:val="0"/>
          <w:numId w:val="5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Pengemaskinian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pemantapan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Senarai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Induk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Langganan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oleh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</w:p>
    <w:p w:rsidR="009C5813" w:rsidRDefault="009C5813" w:rsidP="00250FF9">
      <w:pPr>
        <w:spacing w:after="360" w:line="432" w:lineRule="atLeast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</w:p>
    <w:p w:rsidR="009611F0" w:rsidRDefault="009611F0" w:rsidP="00250FF9">
      <w:pPr>
        <w:spacing w:after="360" w:line="432" w:lineRule="atLeast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</w:p>
    <w:p w:rsidR="00250FF9" w:rsidRPr="00250FF9" w:rsidRDefault="00250FF9" w:rsidP="009C5813">
      <w:pPr>
        <w:spacing w:after="360" w:line="36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lastRenderedPageBreak/>
        <w:t>Latihan</w:t>
      </w:r>
      <w:proofErr w:type="spellEnd"/>
    </w:p>
    <w:p w:rsidR="009C5813" w:rsidRDefault="00250FF9" w:rsidP="009C5813">
      <w:pPr>
        <w:numPr>
          <w:ilvl w:val="0"/>
          <w:numId w:val="6"/>
        </w:numPr>
        <w:spacing w:after="0" w:line="360" w:lineRule="auto"/>
        <w:ind w:left="528" w:right="528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Pemantapan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pengetahuan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kompetensi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melalui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latihan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secara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komprehensif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. Antara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kemahiran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yang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perlu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bagi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ialah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:</w:t>
      </w:r>
    </w:p>
    <w:p w:rsidR="00250FF9" w:rsidRDefault="00250FF9" w:rsidP="009C5813">
      <w:pPr>
        <w:spacing w:after="0" w:line="360" w:lineRule="auto"/>
        <w:ind w:left="720" w:right="528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bdr w:val="none" w:sz="0" w:space="0" w:color="auto" w:frame="1"/>
          <w:lang w:eastAsia="en-MY"/>
        </w:rPr>
      </w:pP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br/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. </w:t>
      </w:r>
      <w:r w:rsidR="009C5813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Rundingan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br/>
        <w:t>ii.</w:t>
      </w:r>
      <w:r w:rsidR="009C5813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Pengurusan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langganan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br/>
      </w: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bdr w:val="none" w:sz="0" w:space="0" w:color="auto" w:frame="1"/>
          <w:lang w:eastAsia="en-MY"/>
        </w:rPr>
        <w:t xml:space="preserve">iii.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bdr w:val="none" w:sz="0" w:space="0" w:color="auto" w:frame="1"/>
          <w:lang w:eastAsia="en-MY"/>
        </w:rPr>
        <w:t>Perhubungan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bdr w:val="none" w:sz="0" w:space="0" w:color="auto" w:frame="1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bdr w:val="none" w:sz="0" w:space="0" w:color="auto" w:frame="1"/>
          <w:lang w:eastAsia="en-MY"/>
        </w:rPr>
        <w:t>awam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bdr w:val="none" w:sz="0" w:space="0" w:color="auto" w:frame="1"/>
          <w:lang w:eastAsia="en-MY"/>
        </w:rPr>
        <w:br/>
        <w:t xml:space="preserve">iv.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bdr w:val="none" w:sz="0" w:space="0" w:color="auto" w:frame="1"/>
          <w:lang w:eastAsia="en-MY"/>
        </w:rPr>
        <w:t>Pengurusan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bdr w:val="none" w:sz="0" w:space="0" w:color="auto" w:frame="1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bdr w:val="none" w:sz="0" w:space="0" w:color="auto" w:frame="1"/>
          <w:lang w:eastAsia="en-MY"/>
        </w:rPr>
        <w:t>risiko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bdr w:val="none" w:sz="0" w:space="0" w:color="auto" w:frame="1"/>
          <w:lang w:eastAsia="en-MY"/>
        </w:rPr>
        <w:br/>
        <w:t xml:space="preserve">v. </w:t>
      </w:r>
      <w:r w:rsidR="009C5813">
        <w:rPr>
          <w:rFonts w:ascii="Arial Narrow" w:eastAsia="Times New Roman" w:hAnsi="Arial Narrow" w:cs="Times New Roman"/>
          <w:color w:val="444444"/>
          <w:sz w:val="24"/>
          <w:szCs w:val="24"/>
          <w:bdr w:val="none" w:sz="0" w:space="0" w:color="auto" w:frame="1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bdr w:val="none" w:sz="0" w:space="0" w:color="auto" w:frame="1"/>
          <w:lang w:eastAsia="en-MY"/>
        </w:rPr>
        <w:t>Penilaian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bdr w:val="none" w:sz="0" w:space="0" w:color="auto" w:frame="1"/>
          <w:lang w:eastAsia="en-MY"/>
        </w:rPr>
        <w:t xml:space="preserve"> Return of Investment</w:t>
      </w:r>
    </w:p>
    <w:p w:rsidR="009C5813" w:rsidRPr="00250FF9" w:rsidRDefault="009C5813" w:rsidP="009C5813">
      <w:pPr>
        <w:spacing w:after="0" w:line="276" w:lineRule="auto"/>
        <w:ind w:left="720" w:right="528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</w:p>
    <w:p w:rsidR="009C5813" w:rsidRPr="00250FF9" w:rsidRDefault="00250FF9" w:rsidP="009C5813">
      <w:pPr>
        <w:numPr>
          <w:ilvl w:val="0"/>
          <w:numId w:val="6"/>
        </w:numPr>
        <w:spacing w:after="180" w:line="360" w:lineRule="auto"/>
        <w:ind w:left="528" w:right="528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Perkongsian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pintar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dengan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agensi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berkaitan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dalam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penganjuran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kursus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,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antaranya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ialah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AKEPT, PSM, PNM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PPM.</w:t>
      </w:r>
    </w:p>
    <w:p w:rsidR="00250FF9" w:rsidRPr="00250FF9" w:rsidRDefault="00250FF9" w:rsidP="00250FF9">
      <w:pPr>
        <w:spacing w:after="0" w:line="432" w:lineRule="atLeast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bdr w:val="none" w:sz="0" w:space="0" w:color="auto" w:frame="1"/>
          <w:lang w:eastAsia="en-MY"/>
        </w:rPr>
        <w:t>7.0 GOVERNAN DAN STRUKTUR ORGANISASI</w:t>
      </w:r>
    </w:p>
    <w:p w:rsidR="00250FF9" w:rsidRPr="00250FF9" w:rsidRDefault="00250FF9" w:rsidP="00250FF9">
      <w:pPr>
        <w:spacing w:after="360" w:line="432" w:lineRule="atLeast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Keahlian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br/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Keahlian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terbuka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Negara Malaysia,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Universiti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Awam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,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Universiti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GLC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agensi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kerajaan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Pusat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Sitasi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Malaysia (PSM). PSM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bertindak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sebagai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wakil KPT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bagi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menasihati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MOLEC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mengenai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dasar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polisi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Kementerian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.</w:t>
      </w:r>
    </w:p>
    <w:p w:rsidR="00250FF9" w:rsidRPr="00250FF9" w:rsidRDefault="00250FF9" w:rsidP="00250FF9">
      <w:pPr>
        <w:numPr>
          <w:ilvl w:val="0"/>
          <w:numId w:val="7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Ketua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/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Ketua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Jabatan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melantik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seorang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tetap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sebagai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wakil MOLEC.</w:t>
      </w:r>
    </w:p>
    <w:p w:rsidR="00250FF9" w:rsidRPr="00250FF9" w:rsidRDefault="00250FF9" w:rsidP="00250FF9">
      <w:pPr>
        <w:numPr>
          <w:ilvl w:val="0"/>
          <w:numId w:val="7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Ketua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Pustakawan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/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Ketua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Jabatan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/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Ketua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disyorkan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melantik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pustakawan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yang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mengendalikan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perolehan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sumber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elektronik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sebagai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MOLEC</w:t>
      </w:r>
    </w:p>
    <w:p w:rsidR="00250FF9" w:rsidRPr="00250FF9" w:rsidRDefault="00250FF9" w:rsidP="00250FF9">
      <w:pPr>
        <w:numPr>
          <w:ilvl w:val="0"/>
          <w:numId w:val="7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Ahli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bertanggungjawab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untuk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menghadiri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mesyuarat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atau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menghantar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wakil</w:t>
      </w:r>
    </w:p>
    <w:p w:rsidR="00250FF9" w:rsidRPr="00250FF9" w:rsidRDefault="00250FF9" w:rsidP="00250FF9">
      <w:pPr>
        <w:numPr>
          <w:ilvl w:val="0"/>
          <w:numId w:val="7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Ahli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bertanggungjawab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memberi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sumbangan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idea,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buah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fikiran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mengambil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tindakan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susulan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di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atas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perkara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yang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dibincangkan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dipersetujui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dalam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mesyuarat</w:t>
      </w:r>
      <w:proofErr w:type="spellEnd"/>
    </w:p>
    <w:p w:rsidR="00250FF9" w:rsidRPr="00250FF9" w:rsidRDefault="00250FF9" w:rsidP="00250FF9">
      <w:pPr>
        <w:numPr>
          <w:ilvl w:val="0"/>
          <w:numId w:val="7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Mana-mana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boleh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dilantik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untuk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menganggotai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Jawatankuasa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Kerja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.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Pemilihan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Jawatankuasa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adalah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berdasarkan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persetujuan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mesyuarat</w:t>
      </w:r>
      <w:proofErr w:type="spellEnd"/>
    </w:p>
    <w:p w:rsidR="00250FF9" w:rsidRPr="00250FF9" w:rsidRDefault="00250FF9" w:rsidP="00250FF9">
      <w:pPr>
        <w:numPr>
          <w:ilvl w:val="0"/>
          <w:numId w:val="7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Ahli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bertanggungjawab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untuk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melaporkan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perkembangan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mesyuarat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MOLEC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Ketua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Pustakawan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/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Ketua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/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Ketua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jabatan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masing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–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masing</w:t>
      </w:r>
      <w:proofErr w:type="spellEnd"/>
    </w:p>
    <w:p w:rsidR="00250FF9" w:rsidRPr="00250FF9" w:rsidRDefault="00250FF9" w:rsidP="00250FF9">
      <w:pPr>
        <w:numPr>
          <w:ilvl w:val="0"/>
          <w:numId w:val="7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Jika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mesyuarat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tidak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hadir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mesyuarat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tanpa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alasan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sebanyak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tiga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kali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berturut-turut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,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Pengerusi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MOLEC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mengeluarkan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surat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peringatan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Ketua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Pustakawan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/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Ketua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Perpustakaan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/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Ketua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jabatan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masing-masing</w:t>
      </w:r>
      <w:proofErr w:type="spellEnd"/>
    </w:p>
    <w:p w:rsidR="00250FF9" w:rsidRPr="00250FF9" w:rsidRDefault="00250FF9" w:rsidP="00250FF9">
      <w:pPr>
        <w:numPr>
          <w:ilvl w:val="0"/>
          <w:numId w:val="7"/>
        </w:numPr>
        <w:spacing w:after="180" w:line="240" w:lineRule="auto"/>
        <w:ind w:left="528" w:right="528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Senarai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penuh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keahlian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nama-nama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ahli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mesyuarat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adalah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seperti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dalam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Lampiran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1</w:t>
      </w:r>
    </w:p>
    <w:p w:rsidR="009C5813" w:rsidRDefault="009C5813" w:rsidP="00250FF9">
      <w:pPr>
        <w:spacing w:after="0" w:line="432" w:lineRule="atLeast"/>
        <w:jc w:val="both"/>
        <w:textAlignment w:val="baseline"/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bdr w:val="none" w:sz="0" w:space="0" w:color="auto" w:frame="1"/>
          <w:lang w:eastAsia="en-MY"/>
        </w:rPr>
      </w:pPr>
    </w:p>
    <w:p w:rsidR="009C5813" w:rsidRDefault="009C5813" w:rsidP="00250FF9">
      <w:pPr>
        <w:spacing w:after="0" w:line="432" w:lineRule="atLeast"/>
        <w:jc w:val="both"/>
        <w:textAlignment w:val="baseline"/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bdr w:val="none" w:sz="0" w:space="0" w:color="auto" w:frame="1"/>
          <w:lang w:eastAsia="en-MY"/>
        </w:rPr>
      </w:pPr>
    </w:p>
    <w:p w:rsidR="009C5813" w:rsidRDefault="009C5813" w:rsidP="00250FF9">
      <w:pPr>
        <w:spacing w:after="0" w:line="432" w:lineRule="atLeast"/>
        <w:jc w:val="both"/>
        <w:textAlignment w:val="baseline"/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bdr w:val="none" w:sz="0" w:space="0" w:color="auto" w:frame="1"/>
          <w:lang w:eastAsia="en-MY"/>
        </w:rPr>
      </w:pPr>
    </w:p>
    <w:p w:rsidR="00250FF9" w:rsidRPr="00250FF9" w:rsidRDefault="00250FF9" w:rsidP="00250FF9">
      <w:pPr>
        <w:spacing w:after="0" w:line="432" w:lineRule="atLeast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r w:rsidRPr="00250FF9"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bdr w:val="none" w:sz="0" w:space="0" w:color="auto" w:frame="1"/>
          <w:lang w:eastAsia="en-MY"/>
        </w:rPr>
        <w:t>8.0 SEKRETARIAT</w:t>
      </w:r>
    </w:p>
    <w:p w:rsidR="00250FF9" w:rsidRPr="00250FF9" w:rsidRDefault="00250FF9" w:rsidP="00250FF9">
      <w:pPr>
        <w:spacing w:after="360" w:line="432" w:lineRule="atLeast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Sekretariat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MOLEC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terdiri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daripada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:</w:t>
      </w:r>
    </w:p>
    <w:p w:rsidR="00250FF9" w:rsidRPr="00250FF9" w:rsidRDefault="00250FF9" w:rsidP="00250FF9">
      <w:pPr>
        <w:numPr>
          <w:ilvl w:val="0"/>
          <w:numId w:val="8"/>
        </w:numPr>
        <w:spacing w:after="180" w:line="240" w:lineRule="auto"/>
        <w:ind w:left="528" w:right="528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Pengerusi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yang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dilantik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oleh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PERPUN</w:t>
      </w:r>
    </w:p>
    <w:p w:rsidR="00250FF9" w:rsidRPr="00250FF9" w:rsidRDefault="00250FF9" w:rsidP="00250FF9">
      <w:pPr>
        <w:numPr>
          <w:ilvl w:val="0"/>
          <w:numId w:val="8"/>
        </w:numPr>
        <w:spacing w:after="180" w:line="240" w:lineRule="auto"/>
        <w:ind w:left="528" w:right="528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Setiausaha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yang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dilantik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oleh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Pengerusi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MOLEC</w:t>
      </w:r>
    </w:p>
    <w:p w:rsidR="00250FF9" w:rsidRPr="00250FF9" w:rsidRDefault="00250FF9" w:rsidP="00250FF9">
      <w:pPr>
        <w:numPr>
          <w:ilvl w:val="0"/>
          <w:numId w:val="8"/>
        </w:numPr>
        <w:spacing w:after="180" w:line="240" w:lineRule="auto"/>
        <w:ind w:left="528" w:right="528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Sekretariat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memastikan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sekurang-kurangnya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3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mesyuarat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dijalankan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setahun</w:t>
      </w:r>
      <w:proofErr w:type="spellEnd"/>
    </w:p>
    <w:p w:rsidR="00250FF9" w:rsidRPr="00250FF9" w:rsidRDefault="00250FF9" w:rsidP="00250FF9">
      <w:pPr>
        <w:numPr>
          <w:ilvl w:val="0"/>
          <w:numId w:val="8"/>
        </w:numPr>
        <w:spacing w:after="180" w:line="240" w:lineRule="auto"/>
        <w:ind w:left="528" w:right="528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</w:pP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Sekretariat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adalah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wakil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perunding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MOLEC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dengan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KPT, PSM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dan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penerbit</w:t>
      </w:r>
      <w:proofErr w:type="spellEnd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 xml:space="preserve"> </w:t>
      </w:r>
      <w:proofErr w:type="spellStart"/>
      <w:r w:rsidRPr="00250FF9">
        <w:rPr>
          <w:rFonts w:ascii="Arial Narrow" w:eastAsia="Times New Roman" w:hAnsi="Arial Narrow" w:cs="Times New Roman"/>
          <w:color w:val="444444"/>
          <w:sz w:val="24"/>
          <w:szCs w:val="24"/>
          <w:lang w:eastAsia="en-MY"/>
        </w:rPr>
        <w:t>komersial</w:t>
      </w:r>
      <w:proofErr w:type="spellEnd"/>
    </w:p>
    <w:p w:rsidR="00930F85" w:rsidRDefault="00930F85">
      <w:pPr>
        <w:rPr>
          <w:rFonts w:ascii="Arial Narrow" w:hAnsi="Arial Narrow"/>
          <w:sz w:val="24"/>
          <w:szCs w:val="24"/>
        </w:rPr>
      </w:pPr>
    </w:p>
    <w:p w:rsidR="009C5813" w:rsidRDefault="009C5813">
      <w:pPr>
        <w:rPr>
          <w:rFonts w:ascii="Arial Narrow" w:hAnsi="Arial Narrow"/>
          <w:sz w:val="24"/>
          <w:szCs w:val="24"/>
        </w:rPr>
      </w:pPr>
    </w:p>
    <w:p w:rsidR="009C5813" w:rsidRPr="00250FF9" w:rsidRDefault="009C5813" w:rsidP="009C581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en-MY"/>
        </w:rPr>
      </w:pPr>
      <w:r w:rsidRPr="00250FF9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  <w:t>9.0 STRUKTUR</w:t>
      </w:r>
    </w:p>
    <w:p w:rsidR="009C5813" w:rsidRPr="00250FF9" w:rsidRDefault="009C5813">
      <w:pPr>
        <w:rPr>
          <w:rFonts w:ascii="Arial Narrow" w:hAnsi="Arial Narrow"/>
          <w:sz w:val="24"/>
          <w:szCs w:val="24"/>
        </w:rPr>
      </w:pPr>
    </w:p>
    <w:p w:rsidR="00250FF9" w:rsidRPr="00250FF9" w:rsidRDefault="00250FF9">
      <w:pPr>
        <w:rPr>
          <w:rFonts w:ascii="Arial Narrow" w:hAnsi="Arial Narrow"/>
          <w:sz w:val="24"/>
          <w:szCs w:val="24"/>
        </w:rPr>
      </w:pPr>
    </w:p>
    <w:p w:rsidR="00250FF9" w:rsidRDefault="00250FF9">
      <w:r w:rsidRPr="00250FF9">
        <w:rPr>
          <w:rFonts w:ascii="Verdana" w:eastAsia="Times New Roman" w:hAnsi="Verdana" w:cs="Times New Roman"/>
          <w:noProof/>
          <w:color w:val="28A3C2"/>
          <w:sz w:val="18"/>
          <w:szCs w:val="18"/>
          <w:lang w:eastAsia="en-MY"/>
        </w:rPr>
        <w:drawing>
          <wp:inline distT="0" distB="0" distL="0" distR="0" wp14:anchorId="5A7DAD9F" wp14:editId="227A8CAC">
            <wp:extent cx="5731510" cy="2637461"/>
            <wp:effectExtent l="0" t="0" r="2540" b="0"/>
            <wp:docPr id="1" name="Picture 1" descr="Carta MOLE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MOLE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3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F9" w:rsidRPr="00250FF9" w:rsidRDefault="00250FF9" w:rsidP="009C581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en-MY"/>
        </w:rPr>
      </w:pPr>
    </w:p>
    <w:p w:rsidR="00250FF9" w:rsidRPr="00250FF9" w:rsidRDefault="00250FF9" w:rsidP="00250FF9">
      <w:pPr>
        <w:spacing w:before="144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color w:val="444444"/>
          <w:sz w:val="14"/>
          <w:szCs w:val="14"/>
          <w:lang w:eastAsia="en-MY"/>
        </w:rPr>
      </w:pPr>
      <w:r w:rsidRPr="00250FF9">
        <w:rPr>
          <w:rFonts w:ascii="Verdana" w:eastAsia="Times New Roman" w:hAnsi="Verdana" w:cs="Times New Roman"/>
          <w:i/>
          <w:iCs/>
          <w:color w:val="444444"/>
          <w:sz w:val="14"/>
          <w:szCs w:val="14"/>
          <w:lang w:eastAsia="en-MY"/>
        </w:rPr>
        <w:t>CARTA ORGANISASI MALAYSIAN ONLINE E-RESOURCES CONSORTIUM (MOLEC</w:t>
      </w:r>
      <w:r w:rsidR="009C5813">
        <w:rPr>
          <w:rFonts w:ascii="Verdana" w:eastAsia="Times New Roman" w:hAnsi="Verdana" w:cs="Times New Roman"/>
          <w:i/>
          <w:iCs/>
          <w:color w:val="444444"/>
          <w:sz w:val="14"/>
          <w:szCs w:val="14"/>
          <w:lang w:eastAsia="en-MY"/>
        </w:rPr>
        <w:t>)</w:t>
      </w:r>
    </w:p>
    <w:p w:rsidR="00250FF9" w:rsidRDefault="00250FF9"/>
    <w:p w:rsidR="00250FF9" w:rsidRDefault="00250FF9"/>
    <w:p w:rsidR="009611F0" w:rsidRDefault="009611F0"/>
    <w:p w:rsidR="009611F0" w:rsidRDefault="009611F0"/>
    <w:p w:rsidR="009611F0" w:rsidRDefault="009611F0"/>
    <w:p w:rsidR="009611F0" w:rsidRDefault="009611F0"/>
    <w:p w:rsidR="009611F0" w:rsidRDefault="009611F0"/>
    <w:p w:rsidR="009611F0" w:rsidRDefault="009611F0"/>
    <w:p w:rsidR="009611F0" w:rsidRDefault="009611F0" w:rsidP="0017372D">
      <w:pPr>
        <w:spacing w:after="0" w:line="240" w:lineRule="auto"/>
        <w:ind w:left="-567"/>
        <w:jc w:val="both"/>
        <w:textAlignment w:val="baseline"/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</w:pPr>
      <w:r w:rsidRPr="009611F0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  <w:lastRenderedPageBreak/>
        <w:t>10.0 DOKUMEN BERKAITAN</w:t>
      </w:r>
    </w:p>
    <w:p w:rsidR="009611F0" w:rsidRPr="009611F0" w:rsidRDefault="009611F0" w:rsidP="009611F0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en-MY"/>
        </w:rPr>
      </w:pPr>
    </w:p>
    <w:tbl>
      <w:tblPr>
        <w:tblpPr w:leftFromText="180" w:rightFromText="180" w:vertAnchor="text" w:horzAnchor="margin" w:tblpXSpec="center" w:tblpY="697"/>
        <w:tblW w:w="5128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45"/>
        <w:gridCol w:w="6168"/>
        <w:gridCol w:w="1198"/>
        <w:gridCol w:w="2028"/>
      </w:tblGrid>
      <w:tr w:rsidR="009611F0" w:rsidRPr="009611F0" w:rsidTr="0017372D">
        <w:trPr>
          <w:trHeight w:val="668"/>
        </w:trPr>
        <w:tc>
          <w:tcPr>
            <w:tcW w:w="37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Bil</w:t>
            </w:r>
            <w:proofErr w:type="spellEnd"/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Dokumen</w:t>
            </w:r>
            <w:proofErr w:type="spellEnd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Luaran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Tarikh</w:t>
            </w:r>
            <w:proofErr w:type="spellEnd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Akhir</w:t>
            </w:r>
            <w:proofErr w:type="spellEnd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Kemaskini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Penanggungjawab</w:t>
            </w:r>
            <w:proofErr w:type="spellEnd"/>
          </w:p>
        </w:tc>
      </w:tr>
      <w:tr w:rsidR="009611F0" w:rsidRPr="009611F0" w:rsidTr="0017372D">
        <w:trPr>
          <w:trHeight w:val="346"/>
        </w:trPr>
        <w:tc>
          <w:tcPr>
            <w:tcW w:w="37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1.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Surat Dan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Pekeliling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Perbendaharaan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Yang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Berkaitan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 </w:t>
            </w:r>
            <w:r w:rsidRPr="009611F0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http://www.treasury.gov.my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17372D" w:rsidRPr="009611F0" w:rsidTr="0017372D">
        <w:trPr>
          <w:trHeight w:val="831"/>
        </w:trPr>
        <w:tc>
          <w:tcPr>
            <w:tcW w:w="37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1.1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Perolehan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Berkaitan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Ict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Dan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Rangkaian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Internet  (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Pk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7.9) –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Perolehan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Pangkalan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Data,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Jurnal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Dan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Maklumat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Secara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Atas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Talian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  </w:t>
            </w:r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–</w:t>
            </w:r>
            <w:r w:rsidRPr="009611F0">
              <w:rPr>
                <w:rFonts w:ascii="Verdana" w:eastAsia="Times New Roman" w:hAnsi="Verdana" w:cs="Times New Roman"/>
                <w:b/>
                <w:bCs/>
                <w:i/>
                <w:i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(http://www.treasury.gov.my/pekeliling/topik/pk7.9.pdf)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2013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Kementerian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Kewangan</w:t>
            </w:r>
            <w:proofErr w:type="spellEnd"/>
          </w:p>
        </w:tc>
      </w:tr>
      <w:tr w:rsidR="009611F0" w:rsidRPr="009611F0" w:rsidTr="0017372D">
        <w:trPr>
          <w:trHeight w:val="183"/>
        </w:trPr>
        <w:tc>
          <w:tcPr>
            <w:tcW w:w="37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2.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Akta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Dan Warta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Kerajaan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Yang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Berkaitan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17372D" w:rsidRPr="009611F0" w:rsidTr="0017372D">
        <w:trPr>
          <w:trHeight w:val="391"/>
        </w:trPr>
        <w:tc>
          <w:tcPr>
            <w:tcW w:w="371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2.1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Akta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Cukai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Barang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Dan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Perkhidmatan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2014 (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Akta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762) –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Akta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Ibu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2014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Jabatan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Kastam</w:t>
            </w:r>
            <w:proofErr w:type="spellEnd"/>
          </w:p>
        </w:tc>
      </w:tr>
      <w:tr w:rsidR="0017372D" w:rsidRPr="009611F0" w:rsidTr="0017372D">
        <w:trPr>
          <w:trHeight w:val="391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9611F0" w:rsidRPr="009611F0" w:rsidRDefault="009611F0" w:rsidP="0096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2.2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Perintah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Cukai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Barang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Dan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Perkhidmatan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(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Pembekalan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Berkadar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Sifar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) 2014 P.U. (A) 272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Januari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2016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Jabatan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Kastam</w:t>
            </w:r>
            <w:proofErr w:type="spellEnd"/>
          </w:p>
        </w:tc>
      </w:tr>
      <w:tr w:rsidR="009611F0" w:rsidRPr="009611F0" w:rsidTr="0017372D">
        <w:trPr>
          <w:trHeight w:val="333"/>
        </w:trPr>
        <w:tc>
          <w:tcPr>
            <w:tcW w:w="37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3.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International Coalition Of Library Consortia (ICOLC) Statements </w:t>
            </w:r>
            <w:r w:rsidRPr="009611F0">
              <w:rPr>
                <w:rFonts w:ascii="Verdana" w:eastAsia="Times New Roman" w:hAnsi="Verdana" w:cs="Times New Roman"/>
                <w:b/>
                <w:bCs/>
                <w:i/>
                <w:i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(http://icolc.net/statements)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1F0" w:rsidRPr="009611F0" w:rsidRDefault="009611F0" w:rsidP="009611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ICOLC Team</w:t>
            </w:r>
          </w:p>
        </w:tc>
      </w:tr>
    </w:tbl>
    <w:p w:rsidR="009611F0" w:rsidRDefault="009611F0" w:rsidP="0017372D">
      <w:pPr>
        <w:spacing w:after="0" w:line="240" w:lineRule="auto"/>
        <w:ind w:left="-567"/>
        <w:jc w:val="both"/>
        <w:textAlignment w:val="baseline"/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</w:pPr>
      <w:proofErr w:type="gramStart"/>
      <w:r w:rsidRPr="009611F0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  <w:t>10.1  </w:t>
      </w:r>
      <w:proofErr w:type="spellStart"/>
      <w:r w:rsidRPr="009611F0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  <w:t>Dokumen</w:t>
      </w:r>
      <w:proofErr w:type="spellEnd"/>
      <w:proofErr w:type="gramEnd"/>
      <w:r w:rsidRPr="009611F0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  <w:t xml:space="preserve"> </w:t>
      </w:r>
      <w:proofErr w:type="spellStart"/>
      <w:r w:rsidRPr="009611F0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  <w:t>Luaran</w:t>
      </w:r>
      <w:proofErr w:type="spellEnd"/>
    </w:p>
    <w:p w:rsidR="009611F0" w:rsidRDefault="009611F0" w:rsidP="009611F0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</w:pPr>
    </w:p>
    <w:p w:rsidR="0017372D" w:rsidRDefault="0017372D" w:rsidP="0017372D">
      <w:p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en-MY"/>
        </w:rPr>
      </w:pPr>
    </w:p>
    <w:p w:rsidR="0017372D" w:rsidRDefault="0017372D" w:rsidP="0017372D">
      <w:p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en-MY"/>
        </w:rPr>
      </w:pPr>
    </w:p>
    <w:p w:rsidR="0017372D" w:rsidRDefault="0017372D" w:rsidP="0017372D">
      <w:p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en-MY"/>
        </w:rPr>
      </w:pPr>
    </w:p>
    <w:p w:rsidR="0017372D" w:rsidRDefault="0017372D" w:rsidP="0017372D">
      <w:pPr>
        <w:spacing w:after="0" w:line="240" w:lineRule="auto"/>
        <w:ind w:left="-567"/>
        <w:textAlignment w:val="baseline"/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</w:pPr>
    </w:p>
    <w:p w:rsidR="0017372D" w:rsidRPr="009611F0" w:rsidRDefault="0017372D" w:rsidP="0017372D">
      <w:pPr>
        <w:spacing w:after="0" w:line="240" w:lineRule="auto"/>
        <w:ind w:left="-567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en-MY"/>
        </w:rPr>
      </w:pPr>
      <w:r w:rsidRPr="009611F0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  <w:t xml:space="preserve">10.2 </w:t>
      </w:r>
      <w:proofErr w:type="spellStart"/>
      <w:r w:rsidRPr="009611F0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  <w:t>Dokumen</w:t>
      </w:r>
      <w:proofErr w:type="spellEnd"/>
      <w:r w:rsidRPr="009611F0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  <w:t xml:space="preserve"> </w:t>
      </w:r>
      <w:proofErr w:type="spellStart"/>
      <w:r w:rsidRPr="009611F0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  <w:t>Dalaman</w:t>
      </w:r>
      <w:proofErr w:type="spellEnd"/>
    </w:p>
    <w:tbl>
      <w:tblPr>
        <w:tblpPr w:leftFromText="180" w:rightFromText="180" w:vertAnchor="text" w:horzAnchor="margin" w:tblpXSpec="center" w:tblpY="229"/>
        <w:tblW w:w="10281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6644"/>
        <w:gridCol w:w="1198"/>
        <w:gridCol w:w="2028"/>
      </w:tblGrid>
      <w:tr w:rsidR="0017372D" w:rsidRPr="009611F0" w:rsidTr="0017372D">
        <w:trPr>
          <w:trHeight w:val="430"/>
        </w:trPr>
        <w:tc>
          <w:tcPr>
            <w:tcW w:w="41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Bil</w:t>
            </w:r>
            <w:proofErr w:type="spellEnd"/>
          </w:p>
        </w:tc>
        <w:tc>
          <w:tcPr>
            <w:tcW w:w="66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Dokumen</w:t>
            </w:r>
            <w:proofErr w:type="spellEnd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Luaran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Tarikh</w:t>
            </w:r>
            <w:proofErr w:type="spellEnd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Akhir</w:t>
            </w:r>
            <w:proofErr w:type="spellEnd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Kemaskini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Penanggungjawab</w:t>
            </w:r>
            <w:proofErr w:type="spellEnd"/>
          </w:p>
        </w:tc>
      </w:tr>
      <w:tr w:rsidR="0017372D" w:rsidRPr="009611F0" w:rsidTr="0017372D">
        <w:trPr>
          <w:trHeight w:val="1945"/>
        </w:trPr>
        <w:tc>
          <w:tcPr>
            <w:tcW w:w="41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1.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Checklist Of Points To Be Addressed In A License Agreement Between Malaysian Subscribers And Providers Of Commercial  Databases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4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Oktober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2013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bookmarkStart w:id="0" w:name="_GoBack"/>
            <w:bookmarkEnd w:id="0"/>
          </w:p>
        </w:tc>
      </w:tr>
      <w:tr w:rsidR="0017372D" w:rsidRPr="009611F0" w:rsidTr="0017372D">
        <w:trPr>
          <w:trHeight w:val="653"/>
        </w:trPr>
        <w:tc>
          <w:tcPr>
            <w:tcW w:w="41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2.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Garis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Panduan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Bagi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Perolehan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Jurnal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Elektronik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/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Pangkalan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Data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Komersil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(PDK) /</w:t>
            </w:r>
          </w:p>
          <w:p w:rsidR="0017372D" w:rsidRPr="009611F0" w:rsidRDefault="0017372D" w:rsidP="001737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Garis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Panduan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Perolehan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Sumber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Maklumat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Elektronik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15 November 2002</w:t>
            </w:r>
          </w:p>
          <w:p w:rsidR="0017372D" w:rsidRPr="009611F0" w:rsidRDefault="0017372D" w:rsidP="001737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2011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2D" w:rsidRPr="009611F0" w:rsidRDefault="0017372D" w:rsidP="001737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</w:p>
        </w:tc>
      </w:tr>
      <w:tr w:rsidR="0017372D" w:rsidRPr="009611F0" w:rsidTr="0017372D">
        <w:trPr>
          <w:trHeight w:val="430"/>
        </w:trPr>
        <w:tc>
          <w:tcPr>
            <w:tcW w:w="41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3.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Garis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Panduan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Penilaian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Prestasi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Pembekal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Pangkalan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Data (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Minit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Mesyuarat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Jawatankuasa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Langganan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Khas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Pangkalan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Data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Komersil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(JKPDK) (2/2008)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17372D" w:rsidRPr="009611F0" w:rsidTr="0017372D">
        <w:trPr>
          <w:trHeight w:val="445"/>
        </w:trPr>
        <w:tc>
          <w:tcPr>
            <w:tcW w:w="41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4.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Minit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Mesyuarat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 </w:t>
            </w:r>
            <w:r w:rsidRPr="009611F0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Malaysian Online</w:t>
            </w: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 </w:t>
            </w:r>
            <w:r w:rsidRPr="009611F0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E-Resources Consortium (MOLEC) </w:t>
            </w:r>
            <w:r w:rsidRPr="009611F0">
              <w:rPr>
                <w:rFonts w:ascii="Verdana" w:eastAsia="Times New Roman" w:hAnsi="Verdana" w:cs="Times New Roman"/>
                <w:b/>
                <w:bCs/>
                <w:i/>
                <w:i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(</w:t>
            </w:r>
            <w:hyperlink r:id="rId7" w:tgtFrame="_blank" w:history="1">
              <w:r w:rsidRPr="009611F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28A3C2"/>
                  <w:sz w:val="18"/>
                  <w:szCs w:val="18"/>
                  <w:u w:val="single"/>
                  <w:bdr w:val="none" w:sz="0" w:space="0" w:color="auto" w:frame="1"/>
                  <w:lang w:eastAsia="en-MY"/>
                </w:rPr>
                <w:t>http://perpun.upm.edu.my/myuninet/?page_id=276</w:t>
              </w:r>
            </w:hyperlink>
            <w:r w:rsidRPr="009611F0">
              <w:rPr>
                <w:rFonts w:ascii="Verdana" w:eastAsia="Times New Roman" w:hAnsi="Verdana" w:cs="Times New Roman"/>
                <w:b/>
                <w:bCs/>
                <w:i/>
                <w:iCs/>
                <w:color w:val="444444"/>
                <w:sz w:val="18"/>
                <w:szCs w:val="18"/>
                <w:bdr w:val="none" w:sz="0" w:space="0" w:color="auto" w:frame="1"/>
                <w:lang w:eastAsia="en-MY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24 November 2015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</w:p>
        </w:tc>
      </w:tr>
      <w:tr w:rsidR="0017372D" w:rsidRPr="009611F0" w:rsidTr="0017372D">
        <w:trPr>
          <w:trHeight w:val="222"/>
        </w:trPr>
        <w:tc>
          <w:tcPr>
            <w:tcW w:w="41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5.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Pekeliling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Bendahari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Universiti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Berkaitan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17372D" w:rsidRPr="009611F0" w:rsidTr="0017372D">
        <w:trPr>
          <w:trHeight w:val="207"/>
        </w:trPr>
        <w:tc>
          <w:tcPr>
            <w:tcW w:w="41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6.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Minit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Mesyuarat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Majlis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Ketua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Pustakawan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(MKP)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Urusetua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MKP</w:t>
            </w:r>
          </w:p>
        </w:tc>
      </w:tr>
      <w:tr w:rsidR="0017372D" w:rsidRPr="009611F0" w:rsidTr="0017372D">
        <w:trPr>
          <w:trHeight w:val="445"/>
        </w:trPr>
        <w:tc>
          <w:tcPr>
            <w:tcW w:w="41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7.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Minit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Mesyuarat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Pusat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Sitasi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Malaysia (PSM)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10 </w:t>
            </w:r>
            <w:proofErr w:type="spellStart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Disember</w:t>
            </w:r>
            <w:proofErr w:type="spellEnd"/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 xml:space="preserve"> 2015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2D" w:rsidRPr="009611F0" w:rsidRDefault="0017372D" w:rsidP="0017372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</w:pPr>
            <w:r w:rsidRPr="009611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MY"/>
              </w:rPr>
              <w:t>PSM</w:t>
            </w:r>
          </w:p>
        </w:tc>
      </w:tr>
    </w:tbl>
    <w:p w:rsidR="0017372D" w:rsidRDefault="0017372D" w:rsidP="0017372D"/>
    <w:p w:rsidR="009611F0" w:rsidRDefault="009611F0" w:rsidP="009611F0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en-MY"/>
        </w:rPr>
      </w:pPr>
    </w:p>
    <w:p w:rsidR="009611F0" w:rsidRDefault="009611F0" w:rsidP="0017372D">
      <w:pPr>
        <w:spacing w:after="0" w:line="240" w:lineRule="auto"/>
        <w:textAlignment w:val="baseline"/>
      </w:pPr>
    </w:p>
    <w:sectPr w:rsidR="009611F0" w:rsidSect="009611F0"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50AB"/>
    <w:multiLevelType w:val="multilevel"/>
    <w:tmpl w:val="010C9116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52006F2"/>
    <w:multiLevelType w:val="multilevel"/>
    <w:tmpl w:val="2B1A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86CBB"/>
    <w:multiLevelType w:val="multilevel"/>
    <w:tmpl w:val="23E4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76FC0"/>
    <w:multiLevelType w:val="multilevel"/>
    <w:tmpl w:val="D4CA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70D00"/>
    <w:multiLevelType w:val="multilevel"/>
    <w:tmpl w:val="DA6CE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6830B54"/>
    <w:multiLevelType w:val="multilevel"/>
    <w:tmpl w:val="B2BC43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51A3F2C"/>
    <w:multiLevelType w:val="multilevel"/>
    <w:tmpl w:val="793EC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A9165A0"/>
    <w:multiLevelType w:val="multilevel"/>
    <w:tmpl w:val="D676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90A21"/>
    <w:multiLevelType w:val="multilevel"/>
    <w:tmpl w:val="9B743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F9"/>
    <w:rsid w:val="0017372D"/>
    <w:rsid w:val="00250FF9"/>
    <w:rsid w:val="00930F85"/>
    <w:rsid w:val="009611F0"/>
    <w:rsid w:val="009C5813"/>
    <w:rsid w:val="00A5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0FD4"/>
  <w15:chartTrackingRefBased/>
  <w15:docId w15:val="{81078AB5-340E-4276-A7B5-5F05B2CE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0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FF9"/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paragraph" w:styleId="NormalWeb">
    <w:name w:val="Normal (Web)"/>
    <w:basedOn w:val="Normal"/>
    <w:uiPriority w:val="99"/>
    <w:semiHidden/>
    <w:unhideWhenUsed/>
    <w:rsid w:val="0025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250FF9"/>
    <w:rPr>
      <w:b/>
      <w:bCs/>
    </w:rPr>
  </w:style>
  <w:style w:type="paragraph" w:customStyle="1" w:styleId="wp-caption-text">
    <w:name w:val="wp-caption-text"/>
    <w:basedOn w:val="Normal"/>
    <w:rsid w:val="0025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Emphasis">
    <w:name w:val="Emphasis"/>
    <w:basedOn w:val="DefaultParagraphFont"/>
    <w:uiPriority w:val="20"/>
    <w:qFormat/>
    <w:rsid w:val="00250FF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50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pun.upm.edu.my/myuninet/?page_id=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erpun.upm.edu.my/myuninet/wp-content/uploads/2016/02/Carta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Haslina</dc:creator>
  <cp:keywords/>
  <dc:description/>
  <cp:lastModifiedBy>Haslina</cp:lastModifiedBy>
  <cp:revision>2</cp:revision>
  <dcterms:created xsi:type="dcterms:W3CDTF">2017-11-28T04:28:00Z</dcterms:created>
  <dcterms:modified xsi:type="dcterms:W3CDTF">2017-11-28T04:53:00Z</dcterms:modified>
</cp:coreProperties>
</file>